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60"/>
        <w:gridCol w:w="1091"/>
        <w:gridCol w:w="4710"/>
        <w:gridCol w:w="4730"/>
        <w:gridCol w:w="498"/>
        <w:gridCol w:w="452"/>
        <w:gridCol w:w="1665"/>
      </w:tblGrid>
      <w:tr w:rsidR="00AA4615" w:rsidTr="000C110D">
        <w:trPr>
          <w:cantSplit/>
          <w:trHeight w:val="1134"/>
        </w:trPr>
        <w:tc>
          <w:tcPr>
            <w:tcW w:w="2351" w:type="dxa"/>
            <w:gridSpan w:val="2"/>
            <w:tcBorders>
              <w:top w:val="double" w:sz="4" w:space="0" w:color="auto"/>
              <w:bottom w:val="double" w:sz="4" w:space="0" w:color="auto"/>
            </w:tcBorders>
            <w:vAlign w:val="center"/>
          </w:tcPr>
          <w:p w:rsidR="00AA4615" w:rsidRDefault="00AA4615"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Název rámcového tématu</w:t>
            </w:r>
          </w:p>
          <w:p w:rsidR="00AA4615" w:rsidRPr="00745C82" w:rsidRDefault="00AA4615" w:rsidP="000C110D">
            <w:pPr>
              <w:autoSpaceDE w:val="0"/>
              <w:autoSpaceDN w:val="0"/>
              <w:adjustRightInd w:val="0"/>
              <w:jc w:val="center"/>
              <w:rPr>
                <w:rFonts w:ascii="Arial Narrow" w:hAnsi="Arial Narrow"/>
                <w:b/>
                <w:sz w:val="20"/>
                <w:szCs w:val="20"/>
              </w:rPr>
            </w:pPr>
            <w:r>
              <w:rPr>
                <w:rFonts w:ascii="Arial Narrow" w:hAnsi="Arial Narrow"/>
                <w:b/>
                <w:sz w:val="20"/>
                <w:szCs w:val="20"/>
              </w:rPr>
              <w:t>česky/anglicky</w:t>
            </w:r>
            <w:r w:rsidRPr="00745C82">
              <w:rPr>
                <w:rFonts w:ascii="Arial Narrow" w:hAnsi="Arial Narrow"/>
                <w:b/>
                <w:sz w:val="20"/>
                <w:szCs w:val="20"/>
              </w:rPr>
              <w:t xml:space="preserve"> </w:t>
            </w:r>
          </w:p>
        </w:tc>
        <w:tc>
          <w:tcPr>
            <w:tcW w:w="4710" w:type="dxa"/>
            <w:tcBorders>
              <w:top w:val="double" w:sz="4" w:space="0" w:color="auto"/>
              <w:bottom w:val="double" w:sz="4" w:space="0" w:color="auto"/>
            </w:tcBorders>
            <w:vAlign w:val="center"/>
          </w:tcPr>
          <w:p w:rsidR="00AA4615" w:rsidRPr="00745C82" w:rsidRDefault="00AA4615"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4730" w:type="dxa"/>
            <w:tcBorders>
              <w:top w:val="double" w:sz="4" w:space="0" w:color="auto"/>
              <w:bottom w:val="double" w:sz="4" w:space="0" w:color="auto"/>
            </w:tcBorders>
            <w:vAlign w:val="center"/>
          </w:tcPr>
          <w:p w:rsidR="00AA4615" w:rsidRPr="00745C82" w:rsidRDefault="00AA4615"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0" w:type="auto"/>
            <w:tcBorders>
              <w:top w:val="double" w:sz="4" w:space="0" w:color="auto"/>
              <w:bottom w:val="double" w:sz="4" w:space="0" w:color="auto"/>
            </w:tcBorders>
            <w:textDirection w:val="btLr"/>
            <w:vAlign w:val="center"/>
          </w:tcPr>
          <w:p w:rsidR="00AA4615" w:rsidRPr="00745C82" w:rsidRDefault="00AA4615" w:rsidP="000C110D">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0" w:type="auto"/>
            <w:tcBorders>
              <w:top w:val="double" w:sz="4" w:space="0" w:color="auto"/>
              <w:bottom w:val="double" w:sz="4" w:space="0" w:color="auto"/>
            </w:tcBorders>
            <w:textDirection w:val="btLr"/>
            <w:vAlign w:val="center"/>
          </w:tcPr>
          <w:p w:rsidR="00AA4615" w:rsidRPr="00745C82" w:rsidRDefault="00AA4615" w:rsidP="000C110D">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0" w:type="auto"/>
            <w:tcBorders>
              <w:top w:val="double" w:sz="4" w:space="0" w:color="auto"/>
              <w:bottom w:val="double" w:sz="4" w:space="0" w:color="auto"/>
            </w:tcBorders>
            <w:vAlign w:val="center"/>
          </w:tcPr>
          <w:p w:rsidR="00AA4615" w:rsidRPr="00745C82" w:rsidRDefault="00AA4615" w:rsidP="000C110D">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AA4615" w:rsidTr="000C110D">
        <w:trPr>
          <w:cantSplit/>
          <w:trHeight w:val="6824"/>
        </w:trPr>
        <w:tc>
          <w:tcPr>
            <w:tcW w:w="1260" w:type="dxa"/>
            <w:tcBorders>
              <w:top w:val="double" w:sz="4" w:space="0" w:color="auto"/>
              <w:bottom w:val="double" w:sz="4" w:space="0" w:color="auto"/>
            </w:tcBorders>
            <w:textDirection w:val="btLr"/>
            <w:vAlign w:val="center"/>
          </w:tcPr>
          <w:p w:rsidR="00AA4615" w:rsidRPr="00185E23" w:rsidRDefault="00AA4615" w:rsidP="000C110D">
            <w:pPr>
              <w:autoSpaceDE w:val="0"/>
              <w:autoSpaceDN w:val="0"/>
              <w:adjustRightInd w:val="0"/>
              <w:ind w:left="113" w:right="113"/>
              <w:jc w:val="center"/>
              <w:rPr>
                <w:rFonts w:ascii="Calibri" w:hAnsi="Calibri"/>
                <w:b/>
                <w:lang w:val="en-US"/>
              </w:rPr>
            </w:pPr>
            <w:r>
              <w:t xml:space="preserve">Teroristické útoky proti </w:t>
            </w:r>
            <w:r>
              <w:br/>
              <w:t>energetické infrastruktuře a dopady na energetickou a environmentální bezpečnost</w:t>
            </w:r>
          </w:p>
        </w:tc>
        <w:tc>
          <w:tcPr>
            <w:tcW w:w="1091" w:type="dxa"/>
            <w:tcBorders>
              <w:top w:val="double" w:sz="4" w:space="0" w:color="auto"/>
            </w:tcBorders>
            <w:textDirection w:val="btLr"/>
            <w:vAlign w:val="center"/>
          </w:tcPr>
          <w:p w:rsidR="00AA4615" w:rsidRPr="00B161E3" w:rsidRDefault="00AA4615" w:rsidP="000C110D">
            <w:pPr>
              <w:pStyle w:val="Nadpis3"/>
              <w:spacing w:before="0" w:beforeAutospacing="0"/>
              <w:jc w:val="center"/>
              <w:rPr>
                <w:rFonts w:ascii="Calibri" w:hAnsi="Calibri"/>
                <w:b w:val="0"/>
                <w:sz w:val="24"/>
                <w:szCs w:val="24"/>
                <w:lang w:val="cs-CZ"/>
              </w:rPr>
            </w:pPr>
            <w:r w:rsidRPr="00B161E3">
              <w:rPr>
                <w:b w:val="0"/>
                <w:sz w:val="24"/>
                <w:szCs w:val="24"/>
                <w:lang w:val="en"/>
              </w:rPr>
              <w:t>Terrorist attacks on the energy infrastructure and the impact on energy and environmental security</w:t>
            </w:r>
          </w:p>
        </w:tc>
        <w:tc>
          <w:tcPr>
            <w:tcW w:w="4710" w:type="dxa"/>
            <w:tcBorders>
              <w:top w:val="double" w:sz="4" w:space="0" w:color="auto"/>
            </w:tcBorders>
          </w:tcPr>
          <w:p w:rsidR="00AA4615" w:rsidRDefault="00AA4615" w:rsidP="000C110D">
            <w:r w:rsidRPr="00EE3B7C">
              <w:t xml:space="preserve">Koncept terorismu zaměřeného na sektor energetiky není striktně vymezen pouze na ozbrojené útoky proti </w:t>
            </w:r>
            <w:r>
              <w:t>energetické infrastruktuře. Z</w:t>
            </w:r>
            <w:r w:rsidRPr="00A851CE">
              <w:t>ahrnuje i nezák</w:t>
            </w:r>
            <w:r>
              <w:t>onnou činnost prováděnou proti energetickým</w:t>
            </w:r>
            <w:r w:rsidRPr="00A851CE">
              <w:t xml:space="preserve"> </w:t>
            </w:r>
            <w:r w:rsidRPr="00A851CE">
              <w:rPr>
                <w:rStyle w:val="OaSTextChar"/>
              </w:rPr>
              <w:t xml:space="preserve">zařízením, jako je krádež ropy z potrubí, vyhrožování teroristickým útokem, politické vydírání nebo financování a podpora skupin, které zmíněné útoky provádějí. </w:t>
            </w:r>
            <w:r>
              <w:t>Útok</w:t>
            </w:r>
            <w:r w:rsidRPr="00A851CE">
              <w:t xml:space="preserve"> cílený na energetický sektor představuje velkou hrozbu energetické bezpečnosti kdekoliv, kde k těmto</w:t>
            </w:r>
            <w:r>
              <w:t xml:space="preserve"> útokům dochází nebo může dojít.</w:t>
            </w:r>
            <w:r w:rsidRPr="00A851CE">
              <w:t xml:space="preserve"> </w:t>
            </w:r>
            <w:r>
              <w:t>M</w:t>
            </w:r>
            <w:r w:rsidRPr="00A851CE">
              <w:t xml:space="preserve">ožné </w:t>
            </w:r>
            <w:r>
              <w:t xml:space="preserve">environmentální a </w:t>
            </w:r>
            <w:r w:rsidRPr="00A851CE">
              <w:t xml:space="preserve">ekonomické důsledky jsou potenciálně enormní ve vztahu k cílům útoků, jako jsou ropovody, tankery, personál, rafinerie, LNG a ropné terminály. </w:t>
            </w:r>
            <w:r>
              <w:t>Cílem je analyzovat nebo komparovat cíle, motivy, příklady teroristické činnosti</w:t>
            </w:r>
          </w:p>
          <w:p w:rsidR="00AA4615" w:rsidRPr="00391697" w:rsidRDefault="00AA4615" w:rsidP="000C110D">
            <w:pPr>
              <w:rPr>
                <w:color w:val="000000"/>
              </w:rPr>
            </w:pPr>
            <w:r>
              <w:t xml:space="preserve">vybrané organizace či organizací cílenou na energetický sektor v oblasti Latinské Ameriky, Blízkého východu a severní Afriky, subsaharské Afriky, Asie či Evropy s přímými a nepřímými dopady na energetickou a environmentální bezpečnost. </w:t>
            </w:r>
          </w:p>
        </w:tc>
        <w:tc>
          <w:tcPr>
            <w:tcW w:w="4730" w:type="dxa"/>
            <w:tcBorders>
              <w:top w:val="double" w:sz="4" w:space="0" w:color="auto"/>
            </w:tcBorders>
          </w:tcPr>
          <w:p w:rsidR="00AA4615" w:rsidRPr="00D84102" w:rsidRDefault="00AA4615" w:rsidP="000C110D">
            <w:pPr>
              <w:rPr>
                <w:lang w:val="en"/>
              </w:rPr>
            </w:pPr>
            <w:r>
              <w:rPr>
                <w:lang w:val="en-GB"/>
              </w:rPr>
              <w:t>The concept of terrorism targeting the energy sector is not strictly limited merely to armed attacks against energy infrastructure. This concept also includes illegal activities aimed at such facilities, such as the theft of oil or gas from pipelines, extortion, or the funding and support of groups that conduct the aforementioned attacks.</w:t>
            </w:r>
            <w:r>
              <w:rPr>
                <w:lang w:val="en"/>
              </w:rPr>
              <w:t xml:space="preserve"> The attack targeting the energy sector represents a major threat to energy security wherever these attacks occur, or may occur. Environmental and economic implications are potentially enormous in relation to the targets of attacks, such as pipelines, tankers, refinery personal, </w:t>
            </w:r>
            <w:proofErr w:type="gramStart"/>
            <w:r>
              <w:rPr>
                <w:lang w:val="en"/>
              </w:rPr>
              <w:t>LNG</w:t>
            </w:r>
            <w:proofErr w:type="gramEnd"/>
            <w:r>
              <w:rPr>
                <w:lang w:val="en"/>
              </w:rPr>
              <w:t xml:space="preserve"> and oil terminals. The aim is to analyze or compare the goals, motives, examples of terrorist activities of the selected organization or organizations targeted by the energy sector in Latin America, the Middle East and North Africa, Sub-Saharan Africa, Asia and Europe with direct and indirect impacts on energy and environmental security.</w:t>
            </w:r>
          </w:p>
        </w:tc>
        <w:tc>
          <w:tcPr>
            <w:tcW w:w="0" w:type="auto"/>
            <w:tcBorders>
              <w:top w:val="double" w:sz="4" w:space="0" w:color="auto"/>
            </w:tcBorders>
            <w:textDirection w:val="btLr"/>
          </w:tcPr>
          <w:p w:rsidR="00AA4615" w:rsidRDefault="00AA4615" w:rsidP="000C110D">
            <w:pPr>
              <w:autoSpaceDE w:val="0"/>
              <w:autoSpaceDN w:val="0"/>
              <w:adjustRightInd w:val="0"/>
              <w:ind w:left="113" w:right="113"/>
              <w:jc w:val="center"/>
            </w:pPr>
            <w:r>
              <w:t>Mgr. et Mgr. Lukáš Tichý, Ph.D.</w:t>
            </w:r>
          </w:p>
        </w:tc>
        <w:tc>
          <w:tcPr>
            <w:tcW w:w="0" w:type="auto"/>
            <w:tcBorders>
              <w:top w:val="double" w:sz="4" w:space="0" w:color="auto"/>
            </w:tcBorders>
            <w:textDirection w:val="btLr"/>
          </w:tcPr>
          <w:p w:rsidR="00AA4615" w:rsidRDefault="00AA4615" w:rsidP="000C110D">
            <w:pPr>
              <w:autoSpaceDE w:val="0"/>
              <w:autoSpaceDN w:val="0"/>
              <w:adjustRightInd w:val="0"/>
              <w:ind w:left="113" w:right="113"/>
              <w:jc w:val="center"/>
            </w:pPr>
          </w:p>
        </w:tc>
        <w:tc>
          <w:tcPr>
            <w:tcW w:w="0" w:type="auto"/>
            <w:tcBorders>
              <w:top w:val="double" w:sz="4" w:space="0" w:color="auto"/>
            </w:tcBorders>
          </w:tcPr>
          <w:p w:rsidR="00AA4615" w:rsidRPr="009A2AE1" w:rsidRDefault="00AA4615" w:rsidP="000C110D">
            <w:pPr>
              <w:autoSpaceDE w:val="0"/>
              <w:autoSpaceDN w:val="0"/>
              <w:adjustRightInd w:val="0"/>
            </w:pPr>
          </w:p>
        </w:tc>
      </w:tr>
    </w:tbl>
    <w:p w:rsidR="00254B2E" w:rsidRDefault="00254B2E"/>
    <w:p w:rsidR="00214CB1" w:rsidRDefault="00214CB1" w:rsidP="00214CB1">
      <w:pPr>
        <w:autoSpaceDE w:val="0"/>
        <w:autoSpaceDN w:val="0"/>
        <w:adjustRightInd w:val="0"/>
      </w:pPr>
      <w:r>
        <w:t>prof. MUDr. Leoš Navrátil, CSc.</w:t>
      </w:r>
    </w:p>
    <w:p w:rsidR="00214CB1" w:rsidRDefault="00214CB1" w:rsidP="00214CB1">
      <w:pPr>
        <w:autoSpaceDE w:val="0"/>
        <w:autoSpaceDN w:val="0"/>
        <w:adjustRightInd w:val="0"/>
      </w:pPr>
      <w:r>
        <w:t>předseda oborové rady programu Ochrana obyvatelstva</w:t>
      </w:r>
    </w:p>
    <w:p w:rsidR="00214CB1" w:rsidRDefault="00214CB1">
      <w:bookmarkStart w:id="0" w:name="_GoBack"/>
      <w:bookmarkEnd w:id="0"/>
    </w:p>
    <w:sectPr w:rsidR="00214CB1" w:rsidSect="00AA46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5"/>
    <w:rsid w:val="00214CB1"/>
    <w:rsid w:val="00254B2E"/>
    <w:rsid w:val="00AA46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1FA67-BB14-4DEB-B7AF-5B86682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4615"/>
    <w:pPr>
      <w:spacing w:after="0" w:line="240" w:lineRule="auto"/>
    </w:pPr>
    <w:rPr>
      <w:rFonts w:ascii="Times New Roman" w:eastAsia="Times New Roman" w:hAnsi="Times New Roman" w:cs="Times New Roman"/>
      <w:sz w:val="24"/>
      <w:szCs w:val="24"/>
    </w:rPr>
  </w:style>
  <w:style w:type="paragraph" w:styleId="Nadpis3">
    <w:name w:val="heading 3"/>
    <w:basedOn w:val="Normln"/>
    <w:link w:val="Nadpis3Char"/>
    <w:qFormat/>
    <w:rsid w:val="00AA4615"/>
    <w:pPr>
      <w:spacing w:before="100" w:beforeAutospacing="1" w:after="100" w:afterAutospacing="1"/>
      <w:outlineLvl w:val="2"/>
    </w:pPr>
    <w:rPr>
      <w:b/>
      <w:bCs/>
      <w:sz w:val="27"/>
      <w:szCs w:val="27"/>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A4615"/>
    <w:rPr>
      <w:rFonts w:ascii="Times New Roman" w:eastAsia="Times New Roman" w:hAnsi="Times New Roman" w:cs="Times New Roman"/>
      <w:b/>
      <w:bCs/>
      <w:sz w:val="27"/>
      <w:szCs w:val="27"/>
      <w:lang w:val="en-US"/>
    </w:rPr>
  </w:style>
  <w:style w:type="paragraph" w:customStyle="1" w:styleId="OaSText">
    <w:name w:val="OaS Text"/>
    <w:basedOn w:val="Normln"/>
    <w:link w:val="OaSTextChar"/>
    <w:autoRedefine/>
    <w:qFormat/>
    <w:rsid w:val="00AA4615"/>
    <w:pPr>
      <w:tabs>
        <w:tab w:val="right" w:pos="8079"/>
      </w:tabs>
      <w:jc w:val="both"/>
    </w:pPr>
    <w:rPr>
      <w:rFonts w:eastAsia="TimesNewRomanPSMT"/>
      <w:sz w:val="20"/>
      <w:szCs w:val="20"/>
      <w:lang w:eastAsia="cs-CZ"/>
    </w:rPr>
  </w:style>
  <w:style w:type="character" w:customStyle="1" w:styleId="OaSTextChar">
    <w:name w:val="OaS Text Char"/>
    <w:link w:val="OaSText"/>
    <w:rsid w:val="00AA4615"/>
    <w:rPr>
      <w:rFonts w:ascii="Times New Roman" w:eastAsia="TimesNewRomanPSMT"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2054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jiravova</dc:creator>
  <cp:keywords/>
  <dc:description/>
  <cp:lastModifiedBy>jiravova</cp:lastModifiedBy>
  <cp:revision>2</cp:revision>
  <dcterms:created xsi:type="dcterms:W3CDTF">2016-12-15T07:01:00Z</dcterms:created>
  <dcterms:modified xsi:type="dcterms:W3CDTF">2017-01-16T07:26:00Z</dcterms:modified>
</cp:coreProperties>
</file>