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4843"/>
        <w:gridCol w:w="4876"/>
        <w:gridCol w:w="520"/>
        <w:gridCol w:w="472"/>
        <w:gridCol w:w="1419"/>
      </w:tblGrid>
      <w:tr w:rsidR="009A0943" w:rsidTr="009A0943">
        <w:trPr>
          <w:cantSplit/>
          <w:trHeight w:val="1474"/>
        </w:trPr>
        <w:tc>
          <w:tcPr>
            <w:tcW w:w="28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4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E49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9A0943" w:rsidTr="00BC4AF0">
        <w:trPr>
          <w:cantSplit/>
          <w:trHeight w:val="6037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A0943" w:rsidRDefault="009A0943" w:rsidP="009A0943">
            <w:pPr>
              <w:autoSpaceDE w:val="0"/>
              <w:autoSpaceDN w:val="0"/>
              <w:adjustRightInd w:val="0"/>
              <w:spacing w:after="45"/>
              <w:ind w:left="105" w:right="105"/>
              <w:jc w:val="center"/>
              <w:rPr>
                <w:b/>
              </w:rPr>
            </w:pPr>
            <w:r w:rsidRPr="00BD0351">
              <w:rPr>
                <w:b/>
              </w:rPr>
              <w:t>Optimalizace ICT nástrojů pro podporu pacientů s chronickými chorobami</w:t>
            </w:r>
          </w:p>
          <w:p w:rsidR="009A0943" w:rsidRPr="00B7579C" w:rsidRDefault="009A0943" w:rsidP="009A0943">
            <w:pPr>
              <w:autoSpaceDE w:val="0"/>
              <w:autoSpaceDN w:val="0"/>
              <w:adjustRightInd w:val="0"/>
              <w:spacing w:after="45"/>
              <w:ind w:left="105" w:right="105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A0943" w:rsidRPr="00393676" w:rsidRDefault="009A0943" w:rsidP="009A094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393676">
              <w:rPr>
                <w:b/>
                <w:lang w:val="en-US"/>
              </w:rPr>
              <w:t>Optimization</w:t>
            </w:r>
            <w:r>
              <w:rPr>
                <w:b/>
                <w:lang w:val="en-US"/>
              </w:rPr>
              <w:t xml:space="preserve"> </w:t>
            </w:r>
            <w:r w:rsidRPr="00393676">
              <w:rPr>
                <w:b/>
                <w:lang w:val="en-US"/>
              </w:rPr>
              <w:t>of  the ICT Tools to Support Patients with Chronic Diseases</w:t>
            </w:r>
          </w:p>
        </w:tc>
        <w:tc>
          <w:tcPr>
            <w:tcW w:w="4843" w:type="dxa"/>
            <w:tcBorders>
              <w:top w:val="double" w:sz="4" w:space="0" w:color="auto"/>
              <w:bottom w:val="double" w:sz="4" w:space="0" w:color="auto"/>
            </w:tcBorders>
          </w:tcPr>
          <w:p w:rsidR="009A0943" w:rsidRPr="005E5DFE" w:rsidRDefault="009A0943" w:rsidP="009A0943">
            <w:pPr>
              <w:shd w:val="clear" w:color="auto" w:fill="FFFFFF"/>
              <w:rPr>
                <w:lang w:eastAsia="cs-CZ"/>
              </w:rPr>
            </w:pPr>
            <w:r w:rsidRPr="00BD0351">
              <w:rPr>
                <w:lang w:eastAsia="cs-CZ"/>
              </w:rPr>
              <w:t xml:space="preserve">Pacienti trpící chronickými chorobami, jako je např. diabetes 1. typu, jsou dlouhodobě nuceni sledovat svůj zdravotní stav a několikrát denně provádět registrace a kompenzační úkony. Informační a komunikační technologie (ICT), jako jsou mobilní technologie a nositelná elektronika, umožňují pacientovi zásadně snížit nepohodlí související s evidencí dat, která jsou důležitá jak pro průběžné plánování kompenzačních úkonů, tak pro retrospektivní edukaci. Cílem práce je identifikovat faktory, které umožní zvýšit adherenci pacientů k používání těchto ICT nástrojů. Důraz je kladen nejen na faktory mající  motivační charakter, ale i na ty, které představují pro pacienta bariéru v jejich používání. Bylo již mnohokrát prokázáno, že zvýšená intenzita použití ICT nástrojů vede ve finále k lepší kompenzaci. Jednou z cest ke zvýšení </w:t>
            </w:r>
            <w:r>
              <w:rPr>
                <w:lang w:eastAsia="cs-CZ"/>
              </w:rPr>
              <w:t>adherence</w:t>
            </w:r>
            <w:r w:rsidRPr="00BD0351">
              <w:rPr>
                <w:lang w:eastAsia="cs-CZ"/>
              </w:rPr>
              <w:t xml:space="preserve"> může být personalizace těchto nástrojů na základě typologie osobnosti pacienta.</w:t>
            </w:r>
          </w:p>
        </w:tc>
        <w:tc>
          <w:tcPr>
            <w:tcW w:w="4876" w:type="dxa"/>
            <w:tcBorders>
              <w:top w:val="double" w:sz="4" w:space="0" w:color="auto"/>
              <w:bottom w:val="double" w:sz="4" w:space="0" w:color="auto"/>
            </w:tcBorders>
          </w:tcPr>
          <w:p w:rsidR="009A0943" w:rsidRPr="007F2CD1" w:rsidRDefault="009A0943" w:rsidP="009A0943">
            <w:pPr>
              <w:pStyle w:val="western"/>
              <w:spacing w:after="0" w:afterAutospacing="0"/>
              <w:rPr>
                <w:bCs/>
              </w:rPr>
            </w:pPr>
            <w:r w:rsidRPr="008D5FEC">
              <w:rPr>
                <w:bCs/>
              </w:rPr>
              <w:t>Patients with chronic illnesses, such as type 1 diabetes, are being forced to monitor their health status and make multiple registrations and compensation operations a day. Information and communication technologies (ICT), such as mobile technology and wearable electronics, enable the patient to substantially reduce data-related discomforts that are important both for continuous planning of compensatory tasks and</w:t>
            </w:r>
            <w:r>
              <w:rPr>
                <w:bCs/>
              </w:rPr>
              <w:t>/or</w:t>
            </w:r>
            <w:r w:rsidRPr="008D5FEC">
              <w:rPr>
                <w:bCs/>
              </w:rPr>
              <w:t xml:space="preserve"> retrospective education. The aim of this work is to identify factors that will increase patient adherence to these ICT tools. Emphasis is </w:t>
            </w:r>
            <w:r>
              <w:rPr>
                <w:bCs/>
              </w:rPr>
              <w:t>put</w:t>
            </w:r>
            <w:r w:rsidRPr="008D5FEC">
              <w:rPr>
                <w:bCs/>
              </w:rPr>
              <w:t xml:space="preserve"> not only on factors with a motivational character, but also on those that pose a barrier to their use </w:t>
            </w:r>
            <w:r>
              <w:rPr>
                <w:bCs/>
              </w:rPr>
              <w:t>by</w:t>
            </w:r>
            <w:r w:rsidRPr="008D5FEC">
              <w:rPr>
                <w:bCs/>
              </w:rPr>
              <w:t xml:space="preserve"> the patient. It has been demonstrated many times that increased intensity of use of ICT tools leads to better compensation in the final. One way to </w:t>
            </w:r>
            <w:r>
              <w:rPr>
                <w:bCs/>
              </w:rPr>
              <w:t xml:space="preserve">further </w:t>
            </w:r>
            <w:r w:rsidRPr="008D5FEC">
              <w:rPr>
                <w:bCs/>
              </w:rPr>
              <w:t>increase compliance can be to personalize these tools based on the personality typology of the patient.</w:t>
            </w:r>
          </w:p>
        </w:tc>
        <w:tc>
          <w:tcPr>
            <w:tcW w:w="5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9A0943" w:rsidRPr="00FD5E49" w:rsidRDefault="009A0943" w:rsidP="009A0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C03D59">
              <w:rPr>
                <w:b/>
              </w:rPr>
              <w:t>Ing. Jan Mužík Ph.D.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9A0943" w:rsidRPr="004348D0" w:rsidRDefault="009A0943" w:rsidP="009A0943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</w:tcPr>
          <w:p w:rsidR="009A0943" w:rsidRDefault="009A0943" w:rsidP="009A0943">
            <w:pPr>
              <w:autoSpaceDE w:val="0"/>
              <w:autoSpaceDN w:val="0"/>
              <w:adjustRightInd w:val="0"/>
            </w:pPr>
            <w:r w:rsidRPr="00BD0351">
              <w:t>SGS16/194/OHK4/2T/17, GAUK/2017/362217</w:t>
            </w:r>
          </w:p>
        </w:tc>
      </w:tr>
    </w:tbl>
    <w:p w:rsidR="00D6128D" w:rsidRDefault="00D6128D"/>
    <w:p w:rsidR="00AA3F9E" w:rsidRDefault="00AA3F9E"/>
    <w:p w:rsidR="00AA3F9E" w:rsidRDefault="00AA3F9E"/>
    <w:p w:rsidR="00AA3F9E" w:rsidRDefault="00AA3F9E">
      <w:r>
        <w:t>Ing. Karel Hána, Ph.D.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Peter </w:t>
      </w:r>
      <w:proofErr w:type="spellStart"/>
      <w:r>
        <w:t>Kneppo</w:t>
      </w:r>
      <w:proofErr w:type="spellEnd"/>
      <w:r>
        <w:t>, DrSc.</w:t>
      </w:r>
      <w:bookmarkStart w:id="0" w:name="_GoBack"/>
      <w:bookmarkEnd w:id="0"/>
    </w:p>
    <w:p w:rsidR="00AA3F9E" w:rsidRDefault="00AA3F9E">
      <w:r>
        <w:t>vedoucí školicího pracoviště KIT FBMI ČVUT</w:t>
      </w:r>
      <w:r>
        <w:tab/>
      </w:r>
      <w:r>
        <w:tab/>
      </w:r>
      <w:r>
        <w:tab/>
      </w:r>
      <w:r>
        <w:tab/>
      </w:r>
      <w:r>
        <w:tab/>
      </w:r>
      <w:r>
        <w:tab/>
        <w:t>předseda ORP BMKT FBMI ČVUT</w:t>
      </w:r>
    </w:p>
    <w:sectPr w:rsidR="00AA3F9E" w:rsidSect="00AA3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9E"/>
    <w:rsid w:val="009A0943"/>
    <w:rsid w:val="00AA3F9E"/>
    <w:rsid w:val="00D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83BB-A8CB-4070-A5D7-A1374342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AA3F9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2017-05-10T10:32:00Z</dcterms:created>
  <dcterms:modified xsi:type="dcterms:W3CDTF">2017-05-10T11:10:00Z</dcterms:modified>
</cp:coreProperties>
</file>