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D5" w:rsidRPr="004C5ED3" w:rsidRDefault="007D7AD5" w:rsidP="007D7AD5">
      <w:pPr>
        <w:tabs>
          <w:tab w:val="left" w:pos="567"/>
        </w:tabs>
      </w:pPr>
    </w:p>
    <w:tbl>
      <w:tblPr>
        <w:tblW w:w="14035" w:type="dxa"/>
        <w:jc w:val="center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91"/>
        <w:gridCol w:w="4993"/>
        <w:gridCol w:w="4678"/>
        <w:gridCol w:w="567"/>
        <w:gridCol w:w="567"/>
        <w:gridCol w:w="879"/>
      </w:tblGrid>
      <w:tr w:rsidR="008A7D8C" w:rsidRPr="003D3A95" w:rsidTr="008A7D8C">
        <w:trPr>
          <w:cantSplit/>
          <w:trHeight w:val="1117"/>
          <w:jc w:val="center"/>
        </w:trPr>
        <w:tc>
          <w:tcPr>
            <w:tcW w:w="235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D8C" w:rsidRPr="003D3A95" w:rsidRDefault="008A7D8C" w:rsidP="008979D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D8C" w:rsidRPr="004A2DB5" w:rsidRDefault="008A7D8C" w:rsidP="006B1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2DB5">
              <w:rPr>
                <w:b/>
                <w:sz w:val="20"/>
                <w:szCs w:val="20"/>
              </w:rPr>
              <w:t>Anotace (česky)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7D8C" w:rsidRPr="004A2DB5" w:rsidRDefault="008A7D8C" w:rsidP="006B1AC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A2DB5">
              <w:rPr>
                <w:b/>
                <w:sz w:val="20"/>
                <w:szCs w:val="20"/>
              </w:rPr>
              <w:t>Anotace (anglicky)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A7D8C" w:rsidRPr="004A2DB5" w:rsidRDefault="008A7D8C" w:rsidP="006B1A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A2DB5">
              <w:rPr>
                <w:b/>
                <w:sz w:val="20"/>
                <w:szCs w:val="20"/>
              </w:rPr>
              <w:t>Školitel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8A7D8C" w:rsidRPr="004A2DB5" w:rsidRDefault="008A7D8C" w:rsidP="006B1AC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Školitel - specialista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</w:tcPr>
          <w:p w:rsidR="008A7D8C" w:rsidRPr="004A2DB5" w:rsidRDefault="008A7D8C" w:rsidP="008A7D8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A95">
              <w:rPr>
                <w:rFonts w:ascii="Arial Narrow" w:hAnsi="Arial Narrow"/>
                <w:b/>
                <w:sz w:val="20"/>
                <w:szCs w:val="20"/>
              </w:rPr>
              <w:t>Číslo a název projektu/grantu</w:t>
            </w:r>
          </w:p>
        </w:tc>
      </w:tr>
      <w:tr w:rsidR="008A7D8C" w:rsidRPr="003D3A95" w:rsidTr="008A7D8C">
        <w:trPr>
          <w:cantSplit/>
          <w:trHeight w:val="6037"/>
          <w:jc w:val="center"/>
        </w:trPr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A7D8C" w:rsidRPr="00817A04" w:rsidRDefault="006F6DC4" w:rsidP="00817A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Použití optické </w:t>
            </w:r>
            <w:proofErr w:type="spellStart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>pachymetrie</w:t>
            </w:r>
            <w:proofErr w:type="spellEnd"/>
            <w:r>
              <w:rPr>
                <w:bCs/>
                <w:color w:val="222222"/>
                <w:sz w:val="28"/>
                <w:szCs w:val="28"/>
                <w:shd w:val="clear" w:color="auto" w:fill="FFFFFF"/>
              </w:rPr>
              <w:t xml:space="preserve"> po operaci šedého zákalu pro stanovení hloubky ostrosti</w:t>
            </w:r>
          </w:p>
        </w:tc>
        <w:tc>
          <w:tcPr>
            <w:tcW w:w="1091" w:type="dxa"/>
            <w:tcBorders>
              <w:top w:val="double" w:sz="4" w:space="0" w:color="auto"/>
            </w:tcBorders>
            <w:textDirection w:val="btLr"/>
            <w:vAlign w:val="center"/>
          </w:tcPr>
          <w:p w:rsidR="008A7D8C" w:rsidRPr="00817A04" w:rsidRDefault="00CA5AB4" w:rsidP="00666F4B">
            <w:pPr>
              <w:jc w:val="center"/>
              <w:rPr>
                <w:color w:val="000000"/>
              </w:rPr>
            </w:pPr>
            <w:r>
              <w:t xml:space="preserve">Use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optical</w:t>
            </w:r>
            <w:proofErr w:type="spellEnd"/>
            <w:r>
              <w:t xml:space="preserve"> pachymetry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cataract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test/</w:t>
            </w:r>
            <w:proofErr w:type="spellStart"/>
            <w:r>
              <w:t>measurement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depth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bookmarkStart w:id="0" w:name="_GoBack"/>
            <w:bookmarkEnd w:id="0"/>
            <w:proofErr w:type="spellEnd"/>
          </w:p>
        </w:tc>
        <w:tc>
          <w:tcPr>
            <w:tcW w:w="4993" w:type="dxa"/>
            <w:tcBorders>
              <w:top w:val="double" w:sz="4" w:space="0" w:color="auto"/>
            </w:tcBorders>
          </w:tcPr>
          <w:p w:rsidR="008A7D8C" w:rsidRDefault="008A7D8C" w:rsidP="006B1ACB"/>
          <w:p w:rsidR="008A7D8C" w:rsidRPr="00EC6C08" w:rsidRDefault="008A7D8C" w:rsidP="00817A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Operací šedého zákalu se odstraňuje nejen překážka v optických médiích ale i refrakční vada. Další z nabízených možností je zachování vidění bez korekce do dálky i na čtení. Dnes jsou k dispozici „multifokální“ nitrooční čočky (refrakční a difrakční). Jejich technologie nezajišťuje bezproblémovou kvalitu vidění a zraková ostrost nebývá tak vysoká, jako při použití monofokálních nitroočních čoček. Protože rohovka nemusí mít nejvyšší optickou mohutnost v jejím centru ale </w:t>
            </w:r>
            <w:proofErr w:type="spellStart"/>
            <w:r>
              <w:rPr>
                <w:color w:val="000000"/>
              </w:rPr>
              <w:t>paracentrálně</w:t>
            </w:r>
            <w:proofErr w:type="spellEnd"/>
            <w:r>
              <w:rPr>
                <w:color w:val="000000"/>
              </w:rPr>
              <w:t xml:space="preserve">, stává se, že nemocný po operaci katarakty, kterému byla implantována nitrooční čočka pro emetropii, vidí dobře bez případné korekce, jak do dálky, tak i na čtení. Vysvětlení může být i ve vyšší optické mohutnosti rohovky nasálně a dolů. Tématem navrhované doktorské práce je výzkum </w:t>
            </w:r>
            <w:proofErr w:type="spellStart"/>
            <w:r>
              <w:rPr>
                <w:color w:val="000000"/>
              </w:rPr>
              <w:t>keratotopografie</w:t>
            </w:r>
            <w:proofErr w:type="spellEnd"/>
            <w:r>
              <w:rPr>
                <w:color w:val="000000"/>
              </w:rPr>
              <w:t xml:space="preserve"> na výslednou zrakovou ostrost po operaci katarakty.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8A7D8C" w:rsidRDefault="008A7D8C" w:rsidP="006B1ACB">
            <w:pPr>
              <w:rPr>
                <w:lang w:val="en-US"/>
              </w:rPr>
            </w:pPr>
          </w:p>
          <w:p w:rsidR="008A7D8C" w:rsidRPr="00C84EFC" w:rsidRDefault="008A7D8C" w:rsidP="004A2DB5">
            <w:pPr>
              <w:jc w:val="both"/>
              <w:rPr>
                <w:highlight w:val="yellow"/>
              </w:rPr>
            </w:pPr>
            <w:proofErr w:type="spellStart"/>
            <w:r w:rsidRPr="00817A04">
              <w:t>Cataract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surgery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removes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only</w:t>
            </w:r>
            <w:proofErr w:type="spellEnd"/>
            <w:r w:rsidRPr="00817A04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Pr="00817A04">
              <w:t>obstacle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optical</w:t>
            </w:r>
            <w:proofErr w:type="spellEnd"/>
            <w:r w:rsidRPr="00817A04">
              <w:t xml:space="preserve"> media as </w:t>
            </w:r>
            <w:proofErr w:type="spellStart"/>
            <w:r w:rsidRPr="00817A04">
              <w:t>well</w:t>
            </w:r>
            <w:proofErr w:type="spellEnd"/>
            <w:r w:rsidRPr="00817A04">
              <w:t xml:space="preserve"> as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Pr="00817A04">
              <w:t>refractive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errors</w:t>
            </w:r>
            <w:proofErr w:type="spellEnd"/>
            <w:r w:rsidRPr="00817A04">
              <w:t xml:space="preserve">. </w:t>
            </w:r>
            <w:proofErr w:type="spellStart"/>
            <w:r w:rsidRPr="00817A04">
              <w:t>Another</w:t>
            </w:r>
            <w:proofErr w:type="spellEnd"/>
            <w:r w:rsidRPr="00817A04">
              <w:t xml:space="preserve"> </w:t>
            </w:r>
            <w:proofErr w:type="spellStart"/>
            <w:r>
              <w:t>offered</w:t>
            </w:r>
            <w:proofErr w:type="spellEnd"/>
            <w:r>
              <w:t xml:space="preserve"> </w:t>
            </w:r>
            <w:proofErr w:type="spellStart"/>
            <w:r>
              <w:t>option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is</w:t>
            </w:r>
            <w:proofErr w:type="spellEnd"/>
            <w:r w:rsidRPr="00817A04">
              <w:t xml:space="preserve"> to </w:t>
            </w:r>
            <w:proofErr w:type="spellStart"/>
            <w:r w:rsidRPr="00817A04">
              <w:t>preserve</w:t>
            </w:r>
            <w:proofErr w:type="spellEnd"/>
            <w:r w:rsidRPr="00817A04">
              <w:t xml:space="preserve"> vision </w:t>
            </w:r>
            <w:proofErr w:type="spellStart"/>
            <w:r w:rsidRPr="00817A04">
              <w:t>without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correction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for</w:t>
            </w:r>
            <w:proofErr w:type="spellEnd"/>
            <w:r w:rsidRPr="00817A04">
              <w:t xml:space="preserve"> distance as </w:t>
            </w:r>
            <w:proofErr w:type="spellStart"/>
            <w:r w:rsidRPr="00817A04">
              <w:t>well</w:t>
            </w:r>
            <w:proofErr w:type="spellEnd"/>
            <w:r w:rsidRPr="00817A04">
              <w:t xml:space="preserve"> as </w:t>
            </w:r>
            <w:proofErr w:type="spellStart"/>
            <w:r w:rsidRPr="00817A04">
              <w:t>reading</w:t>
            </w:r>
            <w:proofErr w:type="spellEnd"/>
            <w:r w:rsidRPr="00817A04">
              <w:t xml:space="preserve">. </w:t>
            </w:r>
            <w:proofErr w:type="spellStart"/>
            <w:r>
              <w:t>Currently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 xml:space="preserve"> are </w:t>
            </w:r>
            <w:proofErr w:type="spellStart"/>
            <w:r w:rsidRPr="00817A04">
              <w:t>available</w:t>
            </w:r>
            <w:proofErr w:type="spellEnd"/>
            <w:r w:rsidRPr="00817A04">
              <w:t xml:space="preserve"> "</w:t>
            </w:r>
            <w:proofErr w:type="spellStart"/>
            <w:r w:rsidRPr="00817A04">
              <w:t>multifocal</w:t>
            </w:r>
            <w:proofErr w:type="spellEnd"/>
            <w:r w:rsidRPr="00817A04">
              <w:t xml:space="preserve">" </w:t>
            </w:r>
            <w:proofErr w:type="spellStart"/>
            <w:r w:rsidRPr="00817A04">
              <w:t>intraocular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lens</w:t>
            </w:r>
            <w:r>
              <w:t>es</w:t>
            </w:r>
            <w:proofErr w:type="spellEnd"/>
            <w:r w:rsidRPr="00817A04">
              <w:t xml:space="preserve"> (</w:t>
            </w:r>
            <w:proofErr w:type="spellStart"/>
            <w:r w:rsidRPr="00817A04">
              <w:t>refractive</w:t>
            </w:r>
            <w:proofErr w:type="spellEnd"/>
            <w:r w:rsidRPr="00817A04">
              <w:t xml:space="preserve"> and </w:t>
            </w:r>
            <w:proofErr w:type="spellStart"/>
            <w:r w:rsidRPr="00817A04">
              <w:t>diffractive</w:t>
            </w:r>
            <w:proofErr w:type="spellEnd"/>
            <w:r w:rsidRPr="00817A04">
              <w:t xml:space="preserve">). </w:t>
            </w:r>
            <w:r>
              <w:t xml:space="preserve">But </w:t>
            </w:r>
            <w:proofErr w:type="spellStart"/>
            <w:r>
              <w:t>t</w:t>
            </w:r>
            <w:r w:rsidRPr="00817A04">
              <w:t>heir</w:t>
            </w:r>
            <w:proofErr w:type="spellEnd"/>
            <w:r w:rsidRPr="00817A04">
              <w:t xml:space="preserve"> technology </w:t>
            </w:r>
            <w:proofErr w:type="spellStart"/>
            <w:r w:rsidRPr="00817A04">
              <w:t>does</w:t>
            </w:r>
            <w:proofErr w:type="spellEnd"/>
            <w:r w:rsidRPr="00817A04">
              <w:t xml:space="preserve"> not </w:t>
            </w:r>
            <w:proofErr w:type="spellStart"/>
            <w:r w:rsidRPr="00817A04">
              <w:t>provide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seamless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quality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of</w:t>
            </w:r>
            <w:proofErr w:type="spellEnd"/>
            <w:r w:rsidRPr="00817A04">
              <w:t xml:space="preserve"> vision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Pr="00817A04">
              <w:t>visual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acuity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is</w:t>
            </w:r>
            <w:proofErr w:type="spellEnd"/>
            <w:r w:rsidRPr="00817A04">
              <w:t xml:space="preserve"> not as </w:t>
            </w:r>
            <w:proofErr w:type="spellStart"/>
            <w:r w:rsidRPr="00817A04">
              <w:t>high</w:t>
            </w:r>
            <w:proofErr w:type="spellEnd"/>
            <w:r w:rsidRPr="00817A04">
              <w:t xml:space="preserve"> as </w:t>
            </w:r>
            <w:proofErr w:type="spellStart"/>
            <w:r w:rsidRPr="00817A04">
              <w:t>when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using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monofocal</w:t>
            </w:r>
            <w:proofErr w:type="spellEnd"/>
            <w:r w:rsidRPr="00817A04">
              <w:t xml:space="preserve"> IOL. </w:t>
            </w:r>
            <w:proofErr w:type="spellStart"/>
            <w:r w:rsidRPr="00817A04">
              <w:t>Because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the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cornea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may</w:t>
            </w:r>
            <w:proofErr w:type="spellEnd"/>
            <w:r w:rsidRPr="00817A04">
              <w:t xml:space="preserve"> not </w:t>
            </w:r>
            <w:proofErr w:type="spellStart"/>
            <w:r w:rsidRPr="00817A04">
              <w:t>have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the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highest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optical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power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at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its</w:t>
            </w:r>
            <w:proofErr w:type="spellEnd"/>
            <w:r w:rsidRPr="00817A04">
              <w:t xml:space="preserve"> center but </w:t>
            </w:r>
            <w:proofErr w:type="spellStart"/>
            <w:r w:rsidRPr="00817A04">
              <w:t>paracentral</w:t>
            </w:r>
            <w:proofErr w:type="spellEnd"/>
            <w:r w:rsidRPr="00817A04">
              <w:t xml:space="preserve">, </w:t>
            </w:r>
            <w:proofErr w:type="spellStart"/>
            <w:r w:rsidRPr="00817A04">
              <w:t>it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happens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that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the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patient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after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cataract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surgery</w:t>
            </w:r>
            <w:proofErr w:type="spellEnd"/>
            <w:r w:rsidRPr="00817A04">
              <w:t xml:space="preserve">, </w:t>
            </w:r>
            <w:proofErr w:type="spellStart"/>
            <w:r w:rsidRPr="00817A04">
              <w:t>which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was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implanted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intraocular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lens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for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emetropia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see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well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without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any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correction</w:t>
            </w:r>
            <w:proofErr w:type="spellEnd"/>
            <w:r w:rsidRPr="00817A04">
              <w:t xml:space="preserve">, </w:t>
            </w:r>
            <w:proofErr w:type="spellStart"/>
            <w:r w:rsidRPr="00817A04">
              <w:t>both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distant</w:t>
            </w:r>
            <w:proofErr w:type="spellEnd"/>
            <w:r w:rsidRPr="00817A04">
              <w:t xml:space="preserve"> and </w:t>
            </w:r>
            <w:proofErr w:type="spellStart"/>
            <w:r w:rsidRPr="00817A04">
              <w:t>reading</w:t>
            </w:r>
            <w:proofErr w:type="spellEnd"/>
            <w:r w:rsidRPr="00817A04">
              <w:t xml:space="preserve">. </w:t>
            </w:r>
            <w:proofErr w:type="spellStart"/>
            <w:r w:rsidRPr="00817A04">
              <w:t>The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explanation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may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be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provided</w:t>
            </w:r>
            <w:proofErr w:type="spellEnd"/>
            <w:r w:rsidRPr="00817A04">
              <w:t xml:space="preserve"> in </w:t>
            </w:r>
            <w:proofErr w:type="spellStart"/>
            <w:r w:rsidRPr="00817A04">
              <w:t>higher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optical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power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of</w:t>
            </w:r>
            <w:proofErr w:type="spellEnd"/>
            <w:r w:rsidRPr="00817A04">
              <w:t xml:space="preserve"> </w:t>
            </w:r>
            <w:proofErr w:type="spellStart"/>
            <w:proofErr w:type="gramStart"/>
            <w:r w:rsidRPr="00817A04">
              <w:t>the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cornea</w:t>
            </w:r>
            <w:proofErr w:type="spellEnd"/>
            <w:proofErr w:type="gramEnd"/>
            <w:r w:rsidRPr="00817A04">
              <w:t xml:space="preserve"> </w:t>
            </w:r>
            <w:proofErr w:type="spellStart"/>
            <w:r w:rsidRPr="00817A04">
              <w:t>nasally</w:t>
            </w:r>
            <w:proofErr w:type="spellEnd"/>
            <w:r w:rsidRPr="00817A04">
              <w:t xml:space="preserve"> and </w:t>
            </w:r>
            <w:proofErr w:type="spellStart"/>
            <w:r w:rsidRPr="00817A04">
              <w:t>down</w:t>
            </w:r>
            <w:proofErr w:type="spellEnd"/>
            <w:r w:rsidRPr="00817A04">
              <w:t xml:space="preserve">. </w:t>
            </w:r>
            <w:proofErr w:type="spellStart"/>
            <w:r w:rsidRPr="00817A04">
              <w:t>The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theme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of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the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proposed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dissertation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research</w:t>
            </w:r>
            <w:proofErr w:type="spellEnd"/>
            <w:r w:rsidRPr="00817A04">
              <w:t xml:space="preserve"> </w:t>
            </w:r>
            <w:proofErr w:type="spellStart"/>
            <w:r>
              <w:t>keratotopography</w:t>
            </w:r>
            <w:proofErr w:type="spellEnd"/>
            <w:r>
              <w:t xml:space="preserve"> </w:t>
            </w:r>
            <w:r w:rsidRPr="00817A04">
              <w:t xml:space="preserve">on </w:t>
            </w:r>
            <w:proofErr w:type="spellStart"/>
            <w:r w:rsidRPr="00817A04">
              <w:t>final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visual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acuity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after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cataract</w:t>
            </w:r>
            <w:proofErr w:type="spellEnd"/>
            <w:r w:rsidRPr="00817A04">
              <w:t xml:space="preserve"> </w:t>
            </w:r>
            <w:proofErr w:type="spellStart"/>
            <w:r w:rsidRPr="00817A04">
              <w:t>surgery</w:t>
            </w:r>
            <w:proofErr w:type="spellEnd"/>
            <w:r w:rsidRPr="00817A04">
              <w:t>.</w:t>
            </w:r>
          </w:p>
          <w:p w:rsidR="008A7D8C" w:rsidRPr="0016169F" w:rsidRDefault="008A7D8C" w:rsidP="006B1ACB">
            <w:pPr>
              <w:rPr>
                <w:lang w:val="en-US"/>
              </w:rPr>
            </w:pPr>
          </w:p>
          <w:p w:rsidR="008A7D8C" w:rsidRPr="00507F81" w:rsidRDefault="008A7D8C" w:rsidP="00817A0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8A7D8C" w:rsidRPr="004A2DB5" w:rsidRDefault="008A7D8C" w:rsidP="004A2DB5">
            <w:pPr>
              <w:jc w:val="center"/>
              <w:rPr>
                <w:b/>
                <w:sz w:val="22"/>
                <w:szCs w:val="22"/>
              </w:rPr>
            </w:pPr>
            <w:r w:rsidRPr="008A7D8C">
              <w:rPr>
                <w:color w:val="222222"/>
                <w:szCs w:val="22"/>
                <w:shd w:val="clear" w:color="auto" w:fill="FFFFFF"/>
              </w:rPr>
              <w:t xml:space="preserve">MUDr. Ján </w:t>
            </w:r>
            <w:proofErr w:type="spellStart"/>
            <w:r w:rsidRPr="008A7D8C">
              <w:rPr>
                <w:color w:val="222222"/>
                <w:szCs w:val="22"/>
                <w:shd w:val="clear" w:color="auto" w:fill="FFFFFF"/>
              </w:rPr>
              <w:t>Lešták</w:t>
            </w:r>
            <w:proofErr w:type="spellEnd"/>
            <w:r w:rsidRPr="008A7D8C">
              <w:rPr>
                <w:color w:val="2222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8A7D8C">
              <w:rPr>
                <w:color w:val="222222"/>
                <w:szCs w:val="22"/>
                <w:shd w:val="clear" w:color="auto" w:fill="FFFFFF"/>
              </w:rPr>
              <w:t>CSc</w:t>
            </w:r>
            <w:proofErr w:type="spellEnd"/>
            <w:r w:rsidRPr="008A7D8C">
              <w:rPr>
                <w:color w:val="222222"/>
                <w:szCs w:val="22"/>
                <w:shd w:val="clear" w:color="auto" w:fill="FFFFFF"/>
              </w:rPr>
              <w:t>, FEBO, MBA, LLA, DBA, FAOG</w:t>
            </w:r>
          </w:p>
        </w:tc>
        <w:tc>
          <w:tcPr>
            <w:tcW w:w="567" w:type="dxa"/>
            <w:tcBorders>
              <w:top w:val="double" w:sz="4" w:space="0" w:color="auto"/>
            </w:tcBorders>
            <w:textDirection w:val="btLr"/>
          </w:tcPr>
          <w:p w:rsidR="008A7D8C" w:rsidRPr="004A2DB5" w:rsidRDefault="008A7D8C" w:rsidP="004A2DB5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79" w:type="dxa"/>
            <w:tcBorders>
              <w:top w:val="double" w:sz="4" w:space="0" w:color="auto"/>
            </w:tcBorders>
            <w:textDirection w:val="btLr"/>
          </w:tcPr>
          <w:p w:rsidR="008A7D8C" w:rsidRPr="004A2DB5" w:rsidRDefault="008A7D8C" w:rsidP="004A2DB5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:rsidR="00D24F34" w:rsidRDefault="00D24F34"/>
    <w:sectPr w:rsidR="00D24F34" w:rsidSect="007D7A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5"/>
    <w:rsid w:val="00014A31"/>
    <w:rsid w:val="00115ACD"/>
    <w:rsid w:val="001552F7"/>
    <w:rsid w:val="00160AAB"/>
    <w:rsid w:val="001808FF"/>
    <w:rsid w:val="002346B4"/>
    <w:rsid w:val="004A2DB5"/>
    <w:rsid w:val="00522C15"/>
    <w:rsid w:val="00653A69"/>
    <w:rsid w:val="00666F4B"/>
    <w:rsid w:val="006B4434"/>
    <w:rsid w:val="006F6DC4"/>
    <w:rsid w:val="007D7AD5"/>
    <w:rsid w:val="007E2B13"/>
    <w:rsid w:val="00817A04"/>
    <w:rsid w:val="008531FA"/>
    <w:rsid w:val="00854BA4"/>
    <w:rsid w:val="008979DD"/>
    <w:rsid w:val="008A7D8C"/>
    <w:rsid w:val="008C0750"/>
    <w:rsid w:val="00925D71"/>
    <w:rsid w:val="00A77B7A"/>
    <w:rsid w:val="00C84EFC"/>
    <w:rsid w:val="00CA576A"/>
    <w:rsid w:val="00CA5AB4"/>
    <w:rsid w:val="00CE72AF"/>
    <w:rsid w:val="00D24F34"/>
    <w:rsid w:val="00DB0DDC"/>
    <w:rsid w:val="00EC6C08"/>
    <w:rsid w:val="00ED0680"/>
    <w:rsid w:val="00F8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7D7AD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7AD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Standardnpsmoodstavce"/>
    <w:rsid w:val="0081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qFormat/>
    <w:rsid w:val="007D7AD5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D7AD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apple-converted-space">
    <w:name w:val="apple-converted-space"/>
    <w:basedOn w:val="Standardnpsmoodstavce"/>
    <w:rsid w:val="0081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fujanova</dc:creator>
  <cp:lastModifiedBy>vosykova</cp:lastModifiedBy>
  <cp:revision>6</cp:revision>
  <cp:lastPrinted>2015-09-02T09:48:00Z</cp:lastPrinted>
  <dcterms:created xsi:type="dcterms:W3CDTF">2015-06-22T10:11:00Z</dcterms:created>
  <dcterms:modified xsi:type="dcterms:W3CDTF">2015-09-02T09:48:00Z</dcterms:modified>
</cp:coreProperties>
</file>