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5387"/>
        <w:gridCol w:w="5528"/>
        <w:gridCol w:w="796"/>
        <w:gridCol w:w="990"/>
        <w:gridCol w:w="1474"/>
      </w:tblGrid>
      <w:tr w:rsidR="00C81C38" w:rsidRPr="00F2519E" w14:paraId="6E037203" w14:textId="77777777" w:rsidTr="00D9228A">
        <w:trPr>
          <w:cantSplit/>
          <w:trHeight w:val="1116"/>
        </w:trPr>
        <w:tc>
          <w:tcPr>
            <w:tcW w:w="1560" w:type="dxa"/>
            <w:gridSpan w:val="2"/>
            <w:tcBorders>
              <w:top w:val="double" w:sz="4" w:space="0" w:color="auto"/>
              <w:bottom w:val="double" w:sz="4" w:space="0" w:color="auto"/>
            </w:tcBorders>
            <w:vAlign w:val="center"/>
          </w:tcPr>
          <w:p w14:paraId="1E10B28D" w14:textId="77777777" w:rsidR="00C81C38" w:rsidRPr="00F2519E" w:rsidRDefault="00C81C38" w:rsidP="00D9228A">
            <w:pPr>
              <w:autoSpaceDE w:val="0"/>
              <w:autoSpaceDN w:val="0"/>
              <w:adjustRightInd w:val="0"/>
              <w:jc w:val="center"/>
              <w:rPr>
                <w:rFonts w:ascii="Arial Narrow" w:hAnsi="Arial Narrow"/>
                <w:b/>
                <w:color w:val="000000"/>
                <w:sz w:val="20"/>
                <w:szCs w:val="20"/>
              </w:rPr>
            </w:pPr>
            <w:r w:rsidRPr="00F2519E">
              <w:rPr>
                <w:rFonts w:ascii="Arial Narrow" w:hAnsi="Arial Narrow"/>
                <w:b/>
                <w:color w:val="000000"/>
                <w:sz w:val="20"/>
                <w:szCs w:val="20"/>
              </w:rPr>
              <w:t xml:space="preserve">Název rámcového tématu </w:t>
            </w:r>
          </w:p>
        </w:tc>
        <w:tc>
          <w:tcPr>
            <w:tcW w:w="5387" w:type="dxa"/>
            <w:tcBorders>
              <w:top w:val="double" w:sz="4" w:space="0" w:color="auto"/>
              <w:bottom w:val="double" w:sz="4" w:space="0" w:color="auto"/>
            </w:tcBorders>
            <w:vAlign w:val="center"/>
          </w:tcPr>
          <w:p w14:paraId="019E884B" w14:textId="77777777" w:rsidR="00C81C38" w:rsidRPr="00F2519E" w:rsidRDefault="00C81C38" w:rsidP="00D9228A">
            <w:pPr>
              <w:autoSpaceDE w:val="0"/>
              <w:autoSpaceDN w:val="0"/>
              <w:adjustRightInd w:val="0"/>
              <w:jc w:val="center"/>
              <w:rPr>
                <w:rFonts w:ascii="Arial Narrow" w:hAnsi="Arial Narrow"/>
                <w:b/>
                <w:color w:val="000000"/>
                <w:sz w:val="20"/>
                <w:szCs w:val="20"/>
              </w:rPr>
            </w:pPr>
            <w:r w:rsidRPr="00F2519E">
              <w:rPr>
                <w:rFonts w:ascii="Arial Narrow" w:hAnsi="Arial Narrow"/>
                <w:b/>
                <w:color w:val="000000"/>
                <w:sz w:val="20"/>
                <w:szCs w:val="20"/>
              </w:rPr>
              <w:t>Anotace (česky)</w:t>
            </w:r>
          </w:p>
        </w:tc>
        <w:tc>
          <w:tcPr>
            <w:tcW w:w="5528" w:type="dxa"/>
            <w:tcBorders>
              <w:top w:val="double" w:sz="4" w:space="0" w:color="auto"/>
              <w:bottom w:val="double" w:sz="4" w:space="0" w:color="auto"/>
            </w:tcBorders>
            <w:vAlign w:val="center"/>
          </w:tcPr>
          <w:p w14:paraId="39DF5A25" w14:textId="77777777" w:rsidR="00C81C38" w:rsidRPr="00F2519E" w:rsidRDefault="00C81C38" w:rsidP="00D9228A">
            <w:pPr>
              <w:autoSpaceDE w:val="0"/>
              <w:autoSpaceDN w:val="0"/>
              <w:adjustRightInd w:val="0"/>
              <w:jc w:val="center"/>
              <w:rPr>
                <w:rFonts w:ascii="Arial Narrow" w:hAnsi="Arial Narrow"/>
                <w:b/>
                <w:color w:val="000000"/>
                <w:sz w:val="20"/>
                <w:szCs w:val="20"/>
              </w:rPr>
            </w:pPr>
            <w:r w:rsidRPr="00F2519E">
              <w:rPr>
                <w:rFonts w:ascii="Arial Narrow" w:hAnsi="Arial Narrow"/>
                <w:b/>
                <w:color w:val="000000"/>
                <w:sz w:val="20"/>
                <w:szCs w:val="20"/>
              </w:rPr>
              <w:t>Anotace (anglicky)</w:t>
            </w:r>
          </w:p>
        </w:tc>
        <w:tc>
          <w:tcPr>
            <w:tcW w:w="796" w:type="dxa"/>
            <w:tcBorders>
              <w:top w:val="double" w:sz="4" w:space="0" w:color="auto"/>
              <w:bottom w:val="double" w:sz="4" w:space="0" w:color="auto"/>
            </w:tcBorders>
            <w:textDirection w:val="btLr"/>
            <w:vAlign w:val="center"/>
          </w:tcPr>
          <w:p w14:paraId="4892206C" w14:textId="77777777" w:rsidR="00C81C38" w:rsidRPr="00F2519E" w:rsidRDefault="00C81C38" w:rsidP="00D9228A">
            <w:pPr>
              <w:autoSpaceDE w:val="0"/>
              <w:autoSpaceDN w:val="0"/>
              <w:adjustRightInd w:val="0"/>
              <w:ind w:left="113" w:right="113"/>
              <w:jc w:val="center"/>
              <w:rPr>
                <w:rFonts w:ascii="Arial Narrow" w:hAnsi="Arial Narrow"/>
                <w:b/>
                <w:color w:val="000000"/>
                <w:sz w:val="20"/>
                <w:szCs w:val="20"/>
              </w:rPr>
            </w:pPr>
            <w:r w:rsidRPr="00F2519E">
              <w:rPr>
                <w:rFonts w:ascii="Arial Narrow" w:hAnsi="Arial Narrow"/>
                <w:b/>
                <w:color w:val="000000"/>
                <w:sz w:val="20"/>
                <w:szCs w:val="20"/>
              </w:rPr>
              <w:t>Školitel</w:t>
            </w:r>
          </w:p>
        </w:tc>
        <w:tc>
          <w:tcPr>
            <w:tcW w:w="990" w:type="dxa"/>
            <w:tcBorders>
              <w:top w:val="double" w:sz="4" w:space="0" w:color="auto"/>
              <w:bottom w:val="double" w:sz="4" w:space="0" w:color="auto"/>
            </w:tcBorders>
            <w:textDirection w:val="btLr"/>
            <w:vAlign w:val="center"/>
          </w:tcPr>
          <w:p w14:paraId="28F2B284" w14:textId="77777777" w:rsidR="00C81C38" w:rsidRPr="00F2519E" w:rsidRDefault="00C81C38" w:rsidP="00D9228A">
            <w:pPr>
              <w:autoSpaceDE w:val="0"/>
              <w:autoSpaceDN w:val="0"/>
              <w:adjustRightInd w:val="0"/>
              <w:ind w:left="113" w:right="113"/>
              <w:jc w:val="center"/>
              <w:rPr>
                <w:rFonts w:ascii="Arial Narrow" w:hAnsi="Arial Narrow"/>
                <w:b/>
                <w:color w:val="000000"/>
                <w:sz w:val="20"/>
                <w:szCs w:val="20"/>
              </w:rPr>
            </w:pPr>
            <w:r w:rsidRPr="00F2519E">
              <w:rPr>
                <w:rFonts w:ascii="Arial Narrow" w:hAnsi="Arial Narrow"/>
                <w:b/>
                <w:color w:val="000000"/>
                <w:sz w:val="20"/>
                <w:szCs w:val="20"/>
              </w:rPr>
              <w:t>Školitel-specialista</w:t>
            </w:r>
          </w:p>
        </w:tc>
        <w:tc>
          <w:tcPr>
            <w:tcW w:w="1474" w:type="dxa"/>
            <w:tcBorders>
              <w:top w:val="double" w:sz="4" w:space="0" w:color="auto"/>
              <w:bottom w:val="double" w:sz="4" w:space="0" w:color="auto"/>
            </w:tcBorders>
            <w:vAlign w:val="center"/>
          </w:tcPr>
          <w:p w14:paraId="01B73F49" w14:textId="77777777" w:rsidR="00C81C38" w:rsidRPr="00F2519E" w:rsidRDefault="00C81C38" w:rsidP="00D9228A">
            <w:pPr>
              <w:autoSpaceDE w:val="0"/>
              <w:autoSpaceDN w:val="0"/>
              <w:adjustRightInd w:val="0"/>
              <w:jc w:val="center"/>
              <w:rPr>
                <w:rFonts w:ascii="Arial Narrow" w:hAnsi="Arial Narrow"/>
                <w:b/>
                <w:color w:val="000000"/>
                <w:sz w:val="20"/>
                <w:szCs w:val="20"/>
              </w:rPr>
            </w:pPr>
            <w:r w:rsidRPr="00F2519E">
              <w:rPr>
                <w:rFonts w:ascii="Arial Narrow" w:hAnsi="Arial Narrow"/>
                <w:b/>
                <w:color w:val="000000"/>
                <w:sz w:val="20"/>
                <w:szCs w:val="20"/>
              </w:rPr>
              <w:t>Číslo a název projektu/grantu</w:t>
            </w:r>
          </w:p>
        </w:tc>
      </w:tr>
      <w:tr w:rsidR="00C81C38" w:rsidRPr="00F2519E" w14:paraId="3AC551AA" w14:textId="77777777" w:rsidTr="00FC13AE">
        <w:trPr>
          <w:cantSplit/>
          <w:trHeight w:val="6747"/>
        </w:trPr>
        <w:tc>
          <w:tcPr>
            <w:tcW w:w="851" w:type="dxa"/>
            <w:tcBorders>
              <w:top w:val="double" w:sz="4" w:space="0" w:color="auto"/>
              <w:bottom w:val="double" w:sz="4" w:space="0" w:color="auto"/>
            </w:tcBorders>
            <w:textDirection w:val="btLr"/>
            <w:vAlign w:val="center"/>
          </w:tcPr>
          <w:p w14:paraId="1539DA86" w14:textId="48C47740" w:rsidR="00C81C38" w:rsidRPr="00173DD1" w:rsidRDefault="00377183" w:rsidP="00D9228A">
            <w:pPr>
              <w:autoSpaceDE w:val="0"/>
              <w:autoSpaceDN w:val="0"/>
              <w:adjustRightInd w:val="0"/>
              <w:ind w:left="113" w:right="113"/>
              <w:jc w:val="center"/>
              <w:rPr>
                <w:rFonts w:ascii="Arial" w:hAnsi="Arial" w:cs="Arial"/>
                <w:b/>
                <w:color w:val="000000"/>
                <w:sz w:val="22"/>
                <w:szCs w:val="22"/>
              </w:rPr>
            </w:pPr>
            <w:r w:rsidRPr="00377183">
              <w:rPr>
                <w:color w:val="000000"/>
              </w:rPr>
              <w:t>4D scintilační dosimetrie s vysokým rozlišením pro stereotaktickou radiační terapii</w:t>
            </w:r>
          </w:p>
        </w:tc>
        <w:tc>
          <w:tcPr>
            <w:tcW w:w="709" w:type="dxa"/>
            <w:tcBorders>
              <w:top w:val="double" w:sz="4" w:space="0" w:color="auto"/>
              <w:bottom w:val="double" w:sz="4" w:space="0" w:color="auto"/>
            </w:tcBorders>
            <w:textDirection w:val="btLr"/>
            <w:vAlign w:val="center"/>
          </w:tcPr>
          <w:p w14:paraId="678113C7" w14:textId="341FA592" w:rsidR="00C81C38" w:rsidRPr="00924BE5" w:rsidRDefault="00C81C38" w:rsidP="00D9228A">
            <w:pPr>
              <w:jc w:val="center"/>
              <w:rPr>
                <w:rFonts w:ascii="Times" w:hAnsi="Times"/>
                <w:sz w:val="20"/>
                <w:szCs w:val="20"/>
                <w:lang w:val="en-US"/>
              </w:rPr>
            </w:pPr>
            <w:r w:rsidRPr="00012BD3">
              <w:rPr>
                <w:rFonts w:cs="Calibri Light"/>
                <w:color w:val="000000"/>
              </w:rPr>
              <w:t>High Resolution 4D Scintillator Dosimetry</w:t>
            </w:r>
            <w:r>
              <w:rPr>
                <w:rFonts w:cs="Calibri Light"/>
                <w:color w:val="000000"/>
              </w:rPr>
              <w:t xml:space="preserve"> for Stereotactic</w:t>
            </w:r>
            <w:r w:rsidRPr="00012BD3">
              <w:rPr>
                <w:rFonts w:cs="Calibri Light"/>
                <w:color w:val="000000"/>
              </w:rPr>
              <w:t xml:space="preserve"> Radiation Therapy</w:t>
            </w:r>
          </w:p>
        </w:tc>
        <w:tc>
          <w:tcPr>
            <w:tcW w:w="5387" w:type="dxa"/>
            <w:tcBorders>
              <w:top w:val="double" w:sz="4" w:space="0" w:color="auto"/>
              <w:bottom w:val="double" w:sz="4" w:space="0" w:color="auto"/>
            </w:tcBorders>
          </w:tcPr>
          <w:p w14:paraId="5DE0B5F9" w14:textId="77777777" w:rsidR="00C81C38" w:rsidRPr="00034EA8" w:rsidRDefault="00C81C38" w:rsidP="00D9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14:paraId="10B1F4E4" w14:textId="77777777" w:rsidR="00C81C38" w:rsidRDefault="00C81C38" w:rsidP="00D9228A">
            <w:pPr>
              <w:rPr>
                <w:shd w:val="clear" w:color="auto" w:fill="FFFFFF"/>
              </w:rPr>
            </w:pPr>
            <w:r>
              <w:rPr>
                <w:shd w:val="clear" w:color="auto" w:fill="FFFFFF"/>
              </w:rPr>
              <w:t xml:space="preserve">Stereotaktická radiochirurgie (SRS) a stereotaktická radiační terapie (SRT) jsou pokročilé formy radiační terapie. Stávají se nyní standardem moderní radioterapie and radio-imunomodulace nádorů hlavy a dalších částí těla. Klíčem k úspěchu SRS/SBRT spočívá v použití malých polí vysoké radiační dávky s ostrým gradientem. Ale vzhledem ke komplexitě plánu ozařování a existujících omezení v celém systému, vyžaduje SRS/SBTR neobyčejně přesné řízení procesu ozařování a stanovení dávky záření jež zabrání možné toxicitě procesu. </w:t>
            </w:r>
          </w:p>
          <w:p w14:paraId="160C83BB" w14:textId="77777777" w:rsidR="00C81C38" w:rsidRDefault="00C81C38" w:rsidP="00D9228A">
            <w:pPr>
              <w:rPr>
                <w:shd w:val="clear" w:color="auto" w:fill="FFFFFF"/>
              </w:rPr>
            </w:pPr>
            <w:r>
              <w:rPr>
                <w:shd w:val="clear" w:color="auto" w:fill="FFFFFF"/>
              </w:rPr>
              <w:t xml:space="preserve">Projekt bude součástí vývoje  zcela nové systému dozimetrie v reálném čase který umožní měření absolutních dávek záření v konkrétním daném objemu. Takový systém zkombinuje informace z transmisního obrazu a laterálního profilu  hloubkové distribuce dávky. Předpokládá se podíl doktoranda na optickém návrhu, systematické ověřování 4D charakteristik dávky a případná účast doktoranda na klinické studii. Projekt bude částečně realizován v </w:t>
            </w:r>
            <w:r w:rsidRPr="008B5370">
              <w:rPr>
                <w:color w:val="222222"/>
                <w:shd w:val="clear" w:color="auto" w:fill="FFFFFF"/>
                <w:lang w:val="en-US"/>
              </w:rPr>
              <w:t>Optics in Medicine imaging center of Dartmouth College and Norris Cotton Cancer Center, USA.</w:t>
            </w:r>
            <w:r>
              <w:rPr>
                <w:shd w:val="clear" w:color="auto" w:fill="FFFFFF"/>
              </w:rPr>
              <w:t xml:space="preserve">  </w:t>
            </w:r>
          </w:p>
          <w:p w14:paraId="7926598C" w14:textId="77777777" w:rsidR="00C81C38" w:rsidRPr="00F74211" w:rsidRDefault="00C81C38" w:rsidP="00D9228A">
            <w:pPr>
              <w:rPr>
                <w:shd w:val="clear" w:color="auto" w:fill="FFFFFF"/>
              </w:rPr>
            </w:pPr>
            <w:r>
              <w:rPr>
                <w:vanish/>
                <w:shd w:val="clear" w:color="auto" w:fill="FFFFFF"/>
                <w:lang w:val="en-US"/>
              </w:rPr>
              <w:t xml:space="preserve"> </w:t>
            </w:r>
            <w:r>
              <w:rPr>
                <w:vanish/>
                <w:shd w:val="clear" w:color="auto" w:fill="FFFFFF"/>
              </w:rPr>
              <w:t xml:space="preserve"> polí  pole čívá v použití</w:t>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t xml:space="preserve">ších částí těla.ická radiační terapie (SRT) jsou pokročilé </w:t>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r>
              <w:rPr>
                <w:vanish/>
                <w:shd w:val="clear" w:color="auto" w:fill="FFFFFF"/>
              </w:rPr>
              <w:pgNum/>
            </w:r>
          </w:p>
        </w:tc>
        <w:tc>
          <w:tcPr>
            <w:tcW w:w="5528" w:type="dxa"/>
            <w:tcBorders>
              <w:top w:val="double" w:sz="4" w:space="0" w:color="auto"/>
              <w:bottom w:val="double" w:sz="4" w:space="0" w:color="auto"/>
            </w:tcBorders>
          </w:tcPr>
          <w:p w14:paraId="4F464E0A" w14:textId="77777777" w:rsidR="00C81C38" w:rsidRDefault="00C81C38" w:rsidP="00D9228A">
            <w:pPr>
              <w:rPr>
                <w:color w:val="000000"/>
                <w:shd w:val="clear" w:color="auto" w:fill="FFFFFF"/>
                <w:lang w:val="en-US"/>
              </w:rPr>
            </w:pPr>
          </w:p>
          <w:p w14:paraId="572CAAFA" w14:textId="77777777" w:rsidR="00C81C38" w:rsidRPr="008B5370" w:rsidRDefault="00C81C38" w:rsidP="00D9228A">
            <w:pPr>
              <w:rPr>
                <w:sz w:val="20"/>
                <w:szCs w:val="20"/>
                <w:lang w:val="en-US"/>
              </w:rPr>
            </w:pPr>
            <w:r>
              <w:rPr>
                <w:color w:val="000000"/>
                <w:shd w:val="clear" w:color="auto" w:fill="FFFFFF"/>
                <w:lang w:val="en-US"/>
              </w:rPr>
              <w:t>St</w:t>
            </w:r>
            <w:r w:rsidRPr="008B5370">
              <w:rPr>
                <w:color w:val="000000"/>
                <w:shd w:val="clear" w:color="auto" w:fill="FFFFFF"/>
                <w:lang w:val="en-US"/>
              </w:rPr>
              <w:t>er</w:t>
            </w:r>
            <w:r>
              <w:rPr>
                <w:color w:val="000000"/>
                <w:shd w:val="clear" w:color="auto" w:fill="FFFFFF"/>
                <w:lang w:val="en-US"/>
              </w:rPr>
              <w:t>e</w:t>
            </w:r>
            <w:r w:rsidRPr="008B5370">
              <w:rPr>
                <w:color w:val="000000"/>
                <w:shd w:val="clear" w:color="auto" w:fill="FFFFFF"/>
                <w:lang w:val="en-US"/>
              </w:rPr>
              <w:t>otactic radiosurgery (SRS) and stereotactic radiation therapy (SRT) are advanced and modernized forms of radiation therapy.</w:t>
            </w:r>
            <w:r>
              <w:rPr>
                <w:color w:val="000000"/>
                <w:shd w:val="clear" w:color="auto" w:fill="FFFFFF"/>
                <w:lang w:val="en-US"/>
              </w:rPr>
              <w:t xml:space="preserve"> </w:t>
            </w:r>
            <w:r w:rsidRPr="008B5370">
              <w:rPr>
                <w:color w:val="222222"/>
                <w:shd w:val="clear" w:color="auto" w:fill="FFFFFF"/>
                <w:lang w:val="en-US"/>
              </w:rPr>
              <w:t>They are becoming a standard i</w:t>
            </w:r>
            <w:r>
              <w:rPr>
                <w:color w:val="222222"/>
                <w:shd w:val="clear" w:color="auto" w:fill="FFFFFF"/>
                <w:lang w:val="en-US"/>
              </w:rPr>
              <w:t>n modern radiotherapy</w:t>
            </w:r>
            <w:r w:rsidRPr="008B5370">
              <w:rPr>
                <w:color w:val="222222"/>
                <w:shd w:val="clear" w:color="auto" w:fill="FFFFFF"/>
                <w:lang w:val="en-US"/>
              </w:rPr>
              <w:t xml:space="preserve"> </w:t>
            </w:r>
            <w:r w:rsidRPr="00012BD3">
              <w:rPr>
                <w:color w:val="222222"/>
                <w:shd w:val="clear" w:color="auto" w:fill="FFFFFF"/>
                <w:lang w:val="en-US"/>
              </w:rPr>
              <w:t xml:space="preserve">and radio-immunomodulation </w:t>
            </w:r>
            <w:r w:rsidRPr="008B5370">
              <w:rPr>
                <w:color w:val="222222"/>
                <w:shd w:val="clear" w:color="auto" w:fill="FFFFFF"/>
                <w:lang w:val="en-US"/>
              </w:rPr>
              <w:t>of head and body cancer, respectively. The key of SRS/SBRT success is the use of small fields of very high radiation dose and sharp dose gradients. However, due to the complexity of the radiation plans and treatment planning system limitations, SRS/SBRT requires an unprecedented control of the real treatment delivery accuracy to avoid severe toxicity. The project will support development of a completely new real-time dosimetric system that is capable of absolute volumetric dose measurements. The technique is based on combining transmission portal image information with a lateral view of the depth dose distribution. Optical design, systematic validation of 4D dose, and-or participation in a retrospective clinical study is anticipated. The project will be partially executed at Optics in Medicine imaging center of Dartmouth College and Norris Cotton Cancer Center, USA.</w:t>
            </w:r>
          </w:p>
          <w:p w14:paraId="67A80E63" w14:textId="77777777" w:rsidR="00C81C38" w:rsidRPr="00F2519E" w:rsidRDefault="00C81C38" w:rsidP="00D9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tc>
        <w:tc>
          <w:tcPr>
            <w:tcW w:w="796" w:type="dxa"/>
            <w:tcBorders>
              <w:top w:val="double" w:sz="4" w:space="0" w:color="auto"/>
              <w:bottom w:val="double" w:sz="4" w:space="0" w:color="auto"/>
            </w:tcBorders>
            <w:textDirection w:val="btLr"/>
          </w:tcPr>
          <w:p w14:paraId="353CD670" w14:textId="77777777" w:rsidR="00C81C38" w:rsidRPr="00F2519E" w:rsidRDefault="00C81C38" w:rsidP="00D9228A">
            <w:pPr>
              <w:autoSpaceDE w:val="0"/>
              <w:autoSpaceDN w:val="0"/>
              <w:adjustRightInd w:val="0"/>
              <w:ind w:left="113" w:right="113"/>
              <w:jc w:val="center"/>
              <w:rPr>
                <w:color w:val="000000"/>
              </w:rPr>
            </w:pPr>
            <w:r>
              <w:t xml:space="preserve">Doc., RNDr. Vlastimil Fidler, CSc. KPO FBMI  </w:t>
            </w:r>
            <w:hyperlink r:id="rId7" w:history="1">
              <w:r w:rsidRPr="000E40BE">
                <w:rPr>
                  <w:rStyle w:val="Hypertextovodkaz"/>
                  <w:lang w:val="en-GB"/>
                </w:rPr>
                <w:t>fidler@fbmi.cvut.cz</w:t>
              </w:r>
            </w:hyperlink>
            <w:r>
              <w:rPr>
                <w:lang w:val="en-GB"/>
              </w:rPr>
              <w:t xml:space="preserve"> ,    </w:t>
            </w:r>
            <w:hyperlink r:id="rId8" w:history="1">
              <w:r w:rsidRPr="000E40BE">
                <w:rPr>
                  <w:rStyle w:val="Hypertextovodkaz"/>
                  <w:lang w:val="en-GB"/>
                </w:rPr>
                <w:t>Vlastimil_Fidler@brown.edu</w:t>
              </w:r>
            </w:hyperlink>
          </w:p>
        </w:tc>
        <w:tc>
          <w:tcPr>
            <w:tcW w:w="990" w:type="dxa"/>
            <w:tcBorders>
              <w:top w:val="double" w:sz="4" w:space="0" w:color="auto"/>
              <w:bottom w:val="double" w:sz="4" w:space="0" w:color="auto"/>
            </w:tcBorders>
            <w:textDirection w:val="btLr"/>
          </w:tcPr>
          <w:p w14:paraId="79FB64CB" w14:textId="77777777" w:rsidR="00C81C38" w:rsidRPr="00B80BFA" w:rsidRDefault="00C81C38" w:rsidP="00D9228A">
            <w:pPr>
              <w:autoSpaceDE w:val="0"/>
              <w:autoSpaceDN w:val="0"/>
              <w:adjustRightInd w:val="0"/>
              <w:ind w:left="113" w:right="113"/>
              <w:jc w:val="center"/>
              <w:rPr>
                <w:color w:val="000000"/>
                <w:lang w:val="en-US"/>
              </w:rPr>
            </w:pPr>
            <w:r w:rsidRPr="00012BD3">
              <w:rPr>
                <w:color w:val="000000"/>
              </w:rPr>
              <w:t>Ing. Petr Brůža, Ph.D. Thayer School of Engineering, Dartmouth College, 14 Engineering Dr., Hanover, NH 03755, USA.</w:t>
            </w:r>
            <w:r>
              <w:rPr>
                <w:color w:val="000000"/>
              </w:rPr>
              <w:t xml:space="preserve"> </w:t>
            </w:r>
            <w:hyperlink r:id="rId9" w:history="1">
              <w:r w:rsidRPr="00B80018">
                <w:rPr>
                  <w:rStyle w:val="Hypertextovodkaz"/>
                </w:rPr>
                <w:t>petr.bruza</w:t>
              </w:r>
              <w:r w:rsidRPr="00B80018">
                <w:rPr>
                  <w:rStyle w:val="Hypertextovodkaz"/>
                  <w:lang w:val="en-US"/>
                </w:rPr>
                <w:t>@dartmouth.edu</w:t>
              </w:r>
            </w:hyperlink>
          </w:p>
        </w:tc>
        <w:tc>
          <w:tcPr>
            <w:tcW w:w="1474" w:type="dxa"/>
            <w:tcBorders>
              <w:top w:val="double" w:sz="4" w:space="0" w:color="auto"/>
              <w:bottom w:val="double" w:sz="4" w:space="0" w:color="auto"/>
            </w:tcBorders>
            <w:textDirection w:val="btLr"/>
          </w:tcPr>
          <w:p w14:paraId="3C56C558" w14:textId="77777777" w:rsidR="00C81C38" w:rsidRDefault="00C81C38" w:rsidP="00D9228A">
            <w:pPr>
              <w:autoSpaceDE w:val="0"/>
              <w:autoSpaceDN w:val="0"/>
              <w:adjustRightInd w:val="0"/>
              <w:ind w:left="113" w:right="113"/>
              <w:rPr>
                <w:rFonts w:ascii="Arial-BoldMT" w:hAnsi="Arial-BoldMT" w:cs="Arial-BoldMT"/>
                <w:b/>
                <w:bCs/>
                <w:sz w:val="16"/>
                <w:szCs w:val="16"/>
                <w:lang w:val="en-US"/>
              </w:rPr>
            </w:pPr>
          </w:p>
          <w:p w14:paraId="67DD95B6" w14:textId="27AB321C" w:rsidR="00C81C38" w:rsidRPr="00F2519E" w:rsidRDefault="00C81C38" w:rsidP="00D9228A">
            <w:pPr>
              <w:autoSpaceDE w:val="0"/>
              <w:autoSpaceDN w:val="0"/>
              <w:adjustRightInd w:val="0"/>
              <w:ind w:left="113" w:right="113"/>
              <w:jc w:val="center"/>
              <w:rPr>
                <w:color w:val="000000"/>
              </w:rPr>
            </w:pPr>
            <w:r>
              <w:t>Výzkum: Projekty aktuálně podporující spolupráci mezi FBMI a Dartm</w:t>
            </w:r>
            <w:r w:rsidR="00FC13AE">
              <w:t>o</w:t>
            </w:r>
            <w:r>
              <w:t>uth College.  Předpokládá se podpora cestovních nákladů ze st</w:t>
            </w:r>
            <w:r w:rsidR="00FC13AE">
              <w:t>ra</w:t>
            </w:r>
            <w:r>
              <w:t>ny ČVUT či MŠMT ČR.</w:t>
            </w:r>
          </w:p>
        </w:tc>
      </w:tr>
    </w:tbl>
    <w:p w14:paraId="3EDACBD6" w14:textId="77777777" w:rsidR="0034132C" w:rsidRDefault="0034132C" w:rsidP="00FC13AE">
      <w:bookmarkStart w:id="0" w:name="_GoBack"/>
      <w:bookmarkEnd w:id="0"/>
    </w:p>
    <w:sectPr w:rsidR="0034132C" w:rsidSect="00FC13AE">
      <w:pgSz w:w="16838" w:h="11906" w:orient="landscape"/>
      <w:pgMar w:top="1584" w:right="1368" w:bottom="1584"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7047E" w14:textId="77777777" w:rsidR="00F06A14" w:rsidRDefault="00F06A14" w:rsidP="00FC13AE">
      <w:r>
        <w:separator/>
      </w:r>
    </w:p>
  </w:endnote>
  <w:endnote w:type="continuationSeparator" w:id="0">
    <w:p w14:paraId="119501F4" w14:textId="77777777" w:rsidR="00F06A14" w:rsidRDefault="00F06A14" w:rsidP="00FC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BoldMT">
    <w:altName w:val="Arial"/>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9C6A" w14:textId="77777777" w:rsidR="00F06A14" w:rsidRDefault="00F06A14" w:rsidP="00FC13AE">
      <w:r>
        <w:separator/>
      </w:r>
    </w:p>
  </w:footnote>
  <w:footnote w:type="continuationSeparator" w:id="0">
    <w:p w14:paraId="482FCCD4" w14:textId="77777777" w:rsidR="00F06A14" w:rsidRDefault="00F06A14" w:rsidP="00FC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38"/>
    <w:rsid w:val="00223C78"/>
    <w:rsid w:val="002408DE"/>
    <w:rsid w:val="0034132C"/>
    <w:rsid w:val="00377183"/>
    <w:rsid w:val="009E7EB6"/>
    <w:rsid w:val="00AA4B55"/>
    <w:rsid w:val="00C81C38"/>
    <w:rsid w:val="00F06A14"/>
    <w:rsid w:val="00FC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FC599"/>
  <w14:defaultImageDpi w14:val="300"/>
  <w15:docId w15:val="{30B1C967-21C9-4230-A603-C1CF4001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C38"/>
    <w:rPr>
      <w:rFonts w:ascii="Times New Roman" w:eastAsia="Times New Roman" w:hAnsi="Times New Roman"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81C38"/>
    <w:rPr>
      <w:color w:val="0000FF"/>
      <w:u w:val="single"/>
    </w:rPr>
  </w:style>
  <w:style w:type="paragraph" w:styleId="Zhlav">
    <w:name w:val="header"/>
    <w:basedOn w:val="Normln"/>
    <w:link w:val="ZhlavChar"/>
    <w:uiPriority w:val="99"/>
    <w:unhideWhenUsed/>
    <w:rsid w:val="00FC13AE"/>
    <w:pPr>
      <w:tabs>
        <w:tab w:val="center" w:pos="4320"/>
        <w:tab w:val="right" w:pos="8640"/>
      </w:tabs>
    </w:pPr>
  </w:style>
  <w:style w:type="character" w:customStyle="1" w:styleId="ZhlavChar">
    <w:name w:val="Záhlaví Char"/>
    <w:basedOn w:val="Standardnpsmoodstavce"/>
    <w:link w:val="Zhlav"/>
    <w:uiPriority w:val="99"/>
    <w:rsid w:val="00FC13AE"/>
    <w:rPr>
      <w:rFonts w:ascii="Times New Roman" w:eastAsia="Times New Roman" w:hAnsi="Times New Roman" w:cs="Times New Roman"/>
      <w:lang w:val="cs-CZ"/>
    </w:rPr>
  </w:style>
  <w:style w:type="paragraph" w:styleId="Zpat">
    <w:name w:val="footer"/>
    <w:basedOn w:val="Normln"/>
    <w:link w:val="ZpatChar"/>
    <w:uiPriority w:val="99"/>
    <w:unhideWhenUsed/>
    <w:rsid w:val="00FC13AE"/>
    <w:pPr>
      <w:tabs>
        <w:tab w:val="center" w:pos="4320"/>
        <w:tab w:val="right" w:pos="8640"/>
      </w:tabs>
    </w:pPr>
  </w:style>
  <w:style w:type="character" w:customStyle="1" w:styleId="ZpatChar">
    <w:name w:val="Zápatí Char"/>
    <w:basedOn w:val="Standardnpsmoodstavce"/>
    <w:link w:val="Zpat"/>
    <w:uiPriority w:val="99"/>
    <w:rsid w:val="00FC13AE"/>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timil_Fidler@brown.edu" TargetMode="External"/><Relationship Id="rId3" Type="http://schemas.openxmlformats.org/officeDocument/2006/relationships/settings" Target="settings.xml"/><Relationship Id="rId7" Type="http://schemas.openxmlformats.org/officeDocument/2006/relationships/hyperlink" Target="mailto:fidler@fbmi.cvut.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r.bruza@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CF53-79D4-4E7B-B013-D121C397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2644</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PhD tema VF-PB SRS 2017</vt:lpstr>
      <vt:lpstr/>
    </vt:vector>
  </TitlesOfParts>
  <Manager/>
  <Company>Brown University</Company>
  <LinksUpToDate>false</LinksUpToDate>
  <CharactersWithSpaces>3086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tema VF-PB SRS 2017</dc:title>
  <dc:subject/>
  <dc:creator>Vlastimil Fidler</dc:creator>
  <cp:keywords/>
  <dc:description/>
  <cp:lastModifiedBy>uzivatel</cp:lastModifiedBy>
  <cp:revision>4</cp:revision>
  <dcterms:created xsi:type="dcterms:W3CDTF">2017-10-23T12:20:00Z</dcterms:created>
  <dcterms:modified xsi:type="dcterms:W3CDTF">2017-10-23T12:33:00Z</dcterms:modified>
  <cp:category/>
</cp:coreProperties>
</file>